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Thankful for Grace - 11/25 Discussion Questions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Psalm 103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contextualSpacing w:val="0"/>
        <w:rPr>
          <w:rFonts w:ascii="Georgia" w:cs="Georgia" w:eastAsia="Georgia" w:hAnsi="Georgia"/>
          <w:b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3 Merciful Subtractions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Suffering for sin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(1,3,12) - removed by the Suffering Servant (Rom. 3:24-26)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Slavery to sin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(4) - released by the Blood of the Redeemer (Rom. 8:2-3)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bookmarkStart w:colFirst="0" w:colLast="0" w:name="_30j0zll" w:id="0"/>
      <w:bookmarkEnd w:id="0"/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Separation in sin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(9-10) - replaced by the Forsaken Son (Matt. 27:46)</w:t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4 Gracious Additions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Healing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 new creation! (3, 5; 2 Cor. 5:17)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Happiness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 new capacity! (2-4; 11; Jer. 31:33)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Wholeness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 new condition! (17b; Ezek. 36:26 )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Hope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 new confidence! (6,19; Rev. 21:3-5)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“Rejoice always, pray without ceasing,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highlight w:val="white"/>
          <w:rtl w:val="0"/>
        </w:rPr>
        <w:t xml:space="preserve">give thanks in all circumstances; for this is the will of God in Christ Jesus for you.”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1 Thess. 5:16-18</w:t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is the best gift you’ve ever been given? What made it so special to you?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helped you realize that God’s grace was a gift - not something you had to earn?</w:t>
      </w:r>
    </w:p>
    <w:p w:rsidR="00000000" w:rsidDel="00000000" w:rsidP="00000000" w:rsidRDefault="00000000" w:rsidRPr="00000000" w14:paraId="00000014">
      <w:pPr>
        <w:contextualSpacing w:val="0"/>
        <w:rPr>
          <w:rFonts w:ascii="Georgia" w:cs="Georgia" w:eastAsia="Georgia" w:hAnsi="Georgi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Psalm 103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do you think David starts and ends the Psalm with worship? How does this opening and closing speak to you?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“all his benefits” (v. 2-7) which one feels most meaningful and personal to you right now?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does God’s character express itself in our lives (v. 6-14)?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does David contrast our condition with God’s (v. 14-19)?</w:t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has it helped you to be reminded of God’s mercy these last two weeks?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are you moved by God’s grace to you right now?</w:t>
      </w:r>
    </w:p>
    <w:p w:rsidR="00000000" w:rsidDel="00000000" w:rsidP="00000000" w:rsidRDefault="00000000" w:rsidRPr="00000000" w14:paraId="0000001F">
      <w:pPr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can we pray for you this week?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Let’s spend some time this week praising God for who He is and thanking Him for all He has done for us!</w:t>
      </w:r>
    </w:p>
    <w:sectPr>
      <w:pgSz w:h="15840" w:w="12240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