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1E54" w14:textId="77777777" w:rsidR="001158F9" w:rsidRPr="001158F9" w:rsidRDefault="001158F9" w:rsidP="001158F9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30"/>
          <w:szCs w:val="30"/>
          <w14:ligatures w14:val="none"/>
        </w:rPr>
        <w:t>The Invitation</w:t>
      </w:r>
    </w:p>
    <w:p w14:paraId="36DF3FE1" w14:textId="77777777" w:rsidR="001158F9" w:rsidRPr="001158F9" w:rsidRDefault="001158F9" w:rsidP="001158F9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>Revelation 22:1-21</w:t>
      </w:r>
    </w:p>
    <w:p w14:paraId="2DA25988" w14:textId="77777777" w:rsidR="001158F9" w:rsidRPr="001158F9" w:rsidRDefault="001158F9" w:rsidP="001158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F9">
        <w:rPr>
          <w:rFonts w:ascii="Aptos" w:eastAsia="Times New Roman" w:hAnsi="Aptos" w:cs="Times New Roman"/>
          <w:color w:val="212121"/>
          <w:kern w:val="0"/>
          <w14:ligatures w14:val="none"/>
        </w:rPr>
        <w:br/>
      </w:r>
    </w:p>
    <w:p w14:paraId="48517220" w14:textId="77777777" w:rsidR="001158F9" w:rsidRPr="001158F9" w:rsidRDefault="001158F9" w:rsidP="001158F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“Come, everyone who thirsts, come to the waters; and he who has no money, come, buy and eat! Come, buy wine and milk without money and without price. Why do you spend your money </w:t>
      </w:r>
      <w:proofErr w:type="gramStart"/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>for that which is</w:t>
      </w:r>
      <w:proofErr w:type="gramEnd"/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not bread, and your labor for that which does not satisfy? Listen diligently to me, and eat what is good, and delight yourselves in rich food. Incline your </w:t>
      </w:r>
      <w:proofErr w:type="gramStart"/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>ear, and</w:t>
      </w:r>
      <w:proofErr w:type="gramEnd"/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come to me; hear, that your soul may live; and I will make with you an everlasting covenant, my steadfast, sure love for David.” Isaiah 55:1-3</w:t>
      </w:r>
    </w:p>
    <w:p w14:paraId="7794068B" w14:textId="77777777" w:rsidR="001158F9" w:rsidRPr="001158F9" w:rsidRDefault="001158F9" w:rsidP="001158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F9">
        <w:rPr>
          <w:rFonts w:ascii="Aptos" w:eastAsia="Times New Roman" w:hAnsi="Aptos" w:cs="Times New Roman"/>
          <w:color w:val="212121"/>
          <w:kern w:val="0"/>
          <w14:ligatures w14:val="none"/>
        </w:rPr>
        <w:br/>
      </w:r>
    </w:p>
    <w:p w14:paraId="04CC094C" w14:textId="77777777" w:rsidR="001158F9" w:rsidRPr="001158F9" w:rsidRDefault="001158F9" w:rsidP="001158F9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Two Transformations:</w:t>
      </w:r>
    </w:p>
    <w:p w14:paraId="228D5365" w14:textId="237F8589" w:rsidR="001158F9" w:rsidRDefault="001158F9" w:rsidP="001158F9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Eden Restored and </w:t>
      </w: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U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____________</w:t>
      </w: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– living water, </w:t>
      </w: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L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____________</w:t>
      </w: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fruit, leaves for healing (v. 1-2, 25; Gen. 2:9-10)</w:t>
      </w:r>
    </w:p>
    <w:p w14:paraId="08121A94" w14:textId="77777777" w:rsidR="001158F9" w:rsidRDefault="001158F9" w:rsidP="001158F9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</w:p>
    <w:p w14:paraId="0B06D131" w14:textId="77777777" w:rsidR="001158F9" w:rsidRDefault="001158F9" w:rsidP="001158F9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</w:p>
    <w:p w14:paraId="7D54B4AC" w14:textId="77777777" w:rsidR="001158F9" w:rsidRPr="001158F9" w:rsidRDefault="001158F9" w:rsidP="001158F9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</w:p>
    <w:p w14:paraId="76118AB3" w14:textId="77777777" w:rsidR="001158F9" w:rsidRDefault="001158F9" w:rsidP="001158F9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The Curse of sin and </w:t>
      </w: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S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_______________</w:t>
      </w: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removed forever (v. 3-5; Gen. 3:23)</w:t>
      </w:r>
    </w:p>
    <w:p w14:paraId="7E501CD4" w14:textId="0543705C" w:rsidR="001158F9" w:rsidRDefault="001158F9" w:rsidP="001158F9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7F98819A" w14:textId="77777777" w:rsidR="001158F9" w:rsidRDefault="001158F9" w:rsidP="001158F9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56E3B331" w14:textId="77777777" w:rsidR="001158F9" w:rsidRPr="001158F9" w:rsidRDefault="001158F9" w:rsidP="001158F9">
      <w:pPr>
        <w:spacing w:after="0" w:line="240" w:lineRule="auto"/>
        <w:ind w:left="720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</w:p>
    <w:p w14:paraId="626EE082" w14:textId="77777777" w:rsidR="001158F9" w:rsidRPr="001158F9" w:rsidRDefault="001158F9" w:rsidP="001158F9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Three Applications:</w:t>
      </w:r>
    </w:p>
    <w:p w14:paraId="52A7BFDB" w14:textId="3936E6F8" w:rsidR="001158F9" w:rsidRPr="001158F9" w:rsidRDefault="001158F9" w:rsidP="001158F9">
      <w:pPr>
        <w:numPr>
          <w:ilvl w:val="0"/>
          <w:numId w:val="2"/>
        </w:numPr>
        <w:spacing w:after="0" w:line="72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Believe that God’s Promises will </w:t>
      </w: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S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_______</w:t>
      </w: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be Fulfilled (v. 6-13; Jn. 14:1-6)</w:t>
      </w:r>
    </w:p>
    <w:p w14:paraId="08780C3A" w14:textId="543267AD" w:rsidR="001158F9" w:rsidRPr="001158F9" w:rsidRDefault="001158F9" w:rsidP="001158F9">
      <w:pPr>
        <w:numPr>
          <w:ilvl w:val="0"/>
          <w:numId w:val="2"/>
        </w:numPr>
        <w:spacing w:after="0" w:line="72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P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____________</w:t>
      </w: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for the Lord’s return (v. 14-16; John 1:29; 2 Cor. 5:21)</w:t>
      </w:r>
    </w:p>
    <w:p w14:paraId="0079D47B" w14:textId="0200AFDA" w:rsidR="001158F9" w:rsidRPr="001158F9" w:rsidRDefault="001158F9" w:rsidP="001158F9">
      <w:pPr>
        <w:numPr>
          <w:ilvl w:val="0"/>
          <w:numId w:val="2"/>
        </w:numPr>
        <w:spacing w:after="0" w:line="72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I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_______</w:t>
      </w: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everyone you can to join us with the Lord forever (v. 17-21; Is. 55:1-3)</w:t>
      </w:r>
    </w:p>
    <w:p w14:paraId="5CD92A21" w14:textId="77777777" w:rsidR="001158F9" w:rsidRPr="001158F9" w:rsidRDefault="001158F9" w:rsidP="001158F9">
      <w:pPr>
        <w:spacing w:before="240" w:after="24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>“He who testifies to these things says, ‘Surely I am coming soon.’ Amen. Come, Lord Jesus! The grace of the Lord Jesus be with all. Amen.” Revelation 22:20-21</w:t>
      </w:r>
    </w:p>
    <w:p w14:paraId="7F52D9AC" w14:textId="77777777" w:rsidR="001158F9" w:rsidRDefault="001158F9"/>
    <w:p w14:paraId="427DE523" w14:textId="72CC3FE3" w:rsidR="001158F9" w:rsidRDefault="001158F9">
      <w:r>
        <w:br w:type="page"/>
      </w:r>
    </w:p>
    <w:p w14:paraId="5FFEC78B" w14:textId="77777777" w:rsidR="001158F9" w:rsidRPr="001158F9" w:rsidRDefault="001158F9" w:rsidP="001158F9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30"/>
          <w:szCs w:val="30"/>
          <w14:ligatures w14:val="none"/>
        </w:rPr>
        <w:lastRenderedPageBreak/>
        <w:t>The Invitation</w:t>
      </w:r>
    </w:p>
    <w:p w14:paraId="4C3A1116" w14:textId="77777777" w:rsidR="001158F9" w:rsidRPr="001158F9" w:rsidRDefault="001158F9" w:rsidP="001158F9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>Revelation 22:1-21</w:t>
      </w:r>
    </w:p>
    <w:p w14:paraId="6AAE60EA" w14:textId="77777777" w:rsidR="001158F9" w:rsidRPr="001158F9" w:rsidRDefault="001158F9" w:rsidP="001158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F9">
        <w:rPr>
          <w:rFonts w:ascii="Aptos" w:eastAsia="Times New Roman" w:hAnsi="Aptos" w:cs="Times New Roman"/>
          <w:color w:val="212121"/>
          <w:kern w:val="0"/>
          <w14:ligatures w14:val="none"/>
        </w:rPr>
        <w:br/>
      </w:r>
    </w:p>
    <w:p w14:paraId="3EC8EEBD" w14:textId="77777777" w:rsidR="001158F9" w:rsidRPr="001158F9" w:rsidRDefault="001158F9" w:rsidP="001158F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“Come, everyone who thirsts, come to the waters; and he who has no money, come, buy and eat! Come, buy wine and milk without money and without price. Why do you spend your money </w:t>
      </w:r>
      <w:proofErr w:type="gramStart"/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>for that which is</w:t>
      </w:r>
      <w:proofErr w:type="gramEnd"/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not bread, and your labor for that which does not satisfy? Listen diligently to me, and eat what is good, and delight yourselves in rich food. Incline your </w:t>
      </w:r>
      <w:proofErr w:type="gramStart"/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>ear, and</w:t>
      </w:r>
      <w:proofErr w:type="gramEnd"/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come to me; hear, that your soul may live; and I will make with you an everlasting covenant, my steadfast, sure love for David.” Isaiah 55:1-3</w:t>
      </w:r>
    </w:p>
    <w:p w14:paraId="3D7B9A8F" w14:textId="77777777" w:rsidR="001158F9" w:rsidRPr="001158F9" w:rsidRDefault="001158F9" w:rsidP="001158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F9">
        <w:rPr>
          <w:rFonts w:ascii="Aptos" w:eastAsia="Times New Roman" w:hAnsi="Aptos" w:cs="Times New Roman"/>
          <w:color w:val="212121"/>
          <w:kern w:val="0"/>
          <w14:ligatures w14:val="none"/>
        </w:rPr>
        <w:br/>
      </w:r>
    </w:p>
    <w:p w14:paraId="49E527E1" w14:textId="77777777" w:rsidR="001158F9" w:rsidRPr="001158F9" w:rsidRDefault="001158F9" w:rsidP="001158F9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Two Transformations:</w:t>
      </w:r>
    </w:p>
    <w:p w14:paraId="7737CAF6" w14:textId="77777777" w:rsidR="001158F9" w:rsidRDefault="001158F9" w:rsidP="001158F9">
      <w:pPr>
        <w:numPr>
          <w:ilvl w:val="0"/>
          <w:numId w:val="3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Eden Restored and </w:t>
      </w: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Upgraded</w:t>
      </w: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– living water, </w:t>
      </w: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Limitless</w:t>
      </w: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fruit, leaves for healing (v. 1-2, 25; Gen. 2:9-10)</w:t>
      </w:r>
    </w:p>
    <w:p w14:paraId="3272329C" w14:textId="77777777" w:rsidR="001158F9" w:rsidRDefault="001158F9" w:rsidP="001158F9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</w:p>
    <w:p w14:paraId="0CCFB16D" w14:textId="77777777" w:rsidR="001158F9" w:rsidRDefault="001158F9" w:rsidP="001158F9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</w:p>
    <w:p w14:paraId="16D65660" w14:textId="77777777" w:rsidR="001158F9" w:rsidRPr="001158F9" w:rsidRDefault="001158F9" w:rsidP="001158F9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</w:p>
    <w:p w14:paraId="37BC680F" w14:textId="77777777" w:rsidR="001158F9" w:rsidRPr="001158F9" w:rsidRDefault="001158F9" w:rsidP="001158F9">
      <w:pPr>
        <w:numPr>
          <w:ilvl w:val="0"/>
          <w:numId w:val="3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The Curse of sin and </w:t>
      </w: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Separation</w:t>
      </w: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removed forever (v. 3-5; Gen. 3:23)</w:t>
      </w:r>
    </w:p>
    <w:p w14:paraId="51F0D05B" w14:textId="3EF1CAE4" w:rsidR="001158F9" w:rsidRDefault="001158F9" w:rsidP="001158F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0D770DCC" w14:textId="77777777" w:rsidR="00BB2F46" w:rsidRDefault="00BB2F46" w:rsidP="001158F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6F191293" w14:textId="77777777" w:rsidR="00BB2F46" w:rsidRPr="001158F9" w:rsidRDefault="00BB2F46" w:rsidP="001158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7602C9" w14:textId="77777777" w:rsidR="001158F9" w:rsidRPr="001158F9" w:rsidRDefault="001158F9" w:rsidP="001158F9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14:ligatures w14:val="none"/>
        </w:rPr>
        <w:t>Three Applications:</w:t>
      </w:r>
    </w:p>
    <w:p w14:paraId="305596B0" w14:textId="77777777" w:rsidR="001158F9" w:rsidRPr="001158F9" w:rsidRDefault="001158F9" w:rsidP="001158F9">
      <w:pPr>
        <w:numPr>
          <w:ilvl w:val="0"/>
          <w:numId w:val="4"/>
        </w:numPr>
        <w:spacing w:after="0" w:line="72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Believe that God’s Promises will </w:t>
      </w: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Soon</w:t>
      </w: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be Fulfilled (v. 6-13; Jn. 14:1-6)</w:t>
      </w:r>
    </w:p>
    <w:p w14:paraId="5E82A438" w14:textId="77777777" w:rsidR="001158F9" w:rsidRPr="001158F9" w:rsidRDefault="001158F9" w:rsidP="001158F9">
      <w:pPr>
        <w:numPr>
          <w:ilvl w:val="0"/>
          <w:numId w:val="4"/>
        </w:numPr>
        <w:spacing w:after="0" w:line="72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Prepare</w:t>
      </w: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for the Lord’s return (v. 14-16; John 1:29; 2 Cor. 5:21)</w:t>
      </w:r>
    </w:p>
    <w:p w14:paraId="54E2E0B8" w14:textId="77777777" w:rsidR="001158F9" w:rsidRPr="001158F9" w:rsidRDefault="001158F9" w:rsidP="001158F9">
      <w:pPr>
        <w:numPr>
          <w:ilvl w:val="0"/>
          <w:numId w:val="4"/>
        </w:numPr>
        <w:spacing w:after="0" w:line="72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</w:pPr>
      <w:r w:rsidRPr="001158F9">
        <w:rPr>
          <w:rFonts w:ascii="Cambria" w:eastAsia="Times New Roman" w:hAnsi="Cambria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Invite</w:t>
      </w: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 xml:space="preserve"> everyone you can to join us with the Lord forever (v. 17-21; Is. 55:1-3)</w:t>
      </w:r>
    </w:p>
    <w:p w14:paraId="1ED3CDA9" w14:textId="77777777" w:rsidR="001158F9" w:rsidRPr="001158F9" w:rsidRDefault="001158F9" w:rsidP="001158F9">
      <w:pPr>
        <w:spacing w:before="240" w:after="24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58F9">
        <w:rPr>
          <w:rFonts w:ascii="Cambria" w:eastAsia="Times New Roman" w:hAnsi="Cambria" w:cs="Times New Roman"/>
          <w:color w:val="000000"/>
          <w:kern w:val="0"/>
          <w:sz w:val="26"/>
          <w:szCs w:val="26"/>
          <w14:ligatures w14:val="none"/>
        </w:rPr>
        <w:t>“He who testifies to these things says, ‘Surely I am coming soon.’ Amen. Come, Lord Jesus! The grace of the Lord Jesus be with all. Amen.” Revelation 22:20-21</w:t>
      </w:r>
    </w:p>
    <w:p w14:paraId="20BBCEF1" w14:textId="77777777" w:rsidR="001158F9" w:rsidRDefault="001158F9"/>
    <w:sectPr w:rsidR="00115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2B4F"/>
    <w:multiLevelType w:val="multilevel"/>
    <w:tmpl w:val="7452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44A07"/>
    <w:multiLevelType w:val="multilevel"/>
    <w:tmpl w:val="7452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F2D94"/>
    <w:multiLevelType w:val="multilevel"/>
    <w:tmpl w:val="72DE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A6B79"/>
    <w:multiLevelType w:val="multilevel"/>
    <w:tmpl w:val="72DE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834132">
    <w:abstractNumId w:val="1"/>
  </w:num>
  <w:num w:numId="2" w16cid:durableId="1797749351">
    <w:abstractNumId w:val="2"/>
  </w:num>
  <w:num w:numId="3" w16cid:durableId="845901338">
    <w:abstractNumId w:val="0"/>
  </w:num>
  <w:num w:numId="4" w16cid:durableId="1503542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F9"/>
    <w:rsid w:val="001158F9"/>
    <w:rsid w:val="001A7503"/>
    <w:rsid w:val="00604F49"/>
    <w:rsid w:val="00646F5E"/>
    <w:rsid w:val="00BB2F46"/>
    <w:rsid w:val="00D945B3"/>
    <w:rsid w:val="00DE6160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B5AAF"/>
  <w15:chartTrackingRefBased/>
  <w15:docId w15:val="{10F60BFA-DBC5-3944-B43C-3B8C4E9D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8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2</cp:revision>
  <dcterms:created xsi:type="dcterms:W3CDTF">2025-10-15T14:57:00Z</dcterms:created>
  <dcterms:modified xsi:type="dcterms:W3CDTF">2025-10-15T15:05:00Z</dcterms:modified>
</cp:coreProperties>
</file>